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 педагога</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педагога»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«Этика профессиональной деятельности педагога».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модели речевого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правила и нормы общения, требования к речевому поведению в различных коммуникативно-речевых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создавать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использовать различные контактоустанавливающие и регулирующие коммуникативный контакт средства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эффективную межличностную коммуникацию в устной и письменной форме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«Этика профессиональной деятельности педагога»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268.96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основного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образования и педагогической мысли</w:t>
            </w:r>
          </w:p>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p>
            <w:pPr>
              <w:jc w:val="center"/>
              <w:spacing w:after="0" w:line="240" w:lineRule="auto"/>
              <w:rPr>
                <w:sz w:val="22"/>
                <w:szCs w:val="22"/>
              </w:rPr>
            </w:pPr>
            <w:r>
              <w:rPr>
                <w:rFonts w:ascii="Times New Roman" w:hAnsi="Times New Roman" w:cs="Times New Roman"/>
                <w:color w:val="#000000"/>
                <w:sz w:val="22"/>
                <w:szCs w:val="22"/>
              </w:rPr>
              <w:t> Социально значимая практика</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Технологии организации работы с родителями младших школьников</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педагогичсекой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871.2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педагогической этики</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Личностно-творческий компонент профессионально- педагогической этики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педагогичсекой этики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Личностно-творческий компонент профессионально-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Профессионализм как нравственная черта личности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педагога» / Корпачева Людмила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https://www.biblio-online.ru/bcode/432853</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https://www.biblio-online.ru/bcode/403649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http://www.iprbookshop.ru/8542.html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43.9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38.4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2024-2025_ФГОС3++2024_Бак-ОФО-ПО(НО)(24)_plx_Этика профессиональной деятельности педагога</dc:title>
  <dc:creator>FastReport.NET</dc:creator>
</cp:coreProperties>
</file>